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58" w:rsidRPr="00892F58" w:rsidRDefault="00892F58" w:rsidP="00892F58">
      <w:pPr>
        <w:shd w:val="clear" w:color="auto" w:fill="FFFFFF"/>
        <w:spacing w:after="0" w:line="240" w:lineRule="atLeast"/>
        <w:textAlignment w:val="baseline"/>
        <w:outlineLvl w:val="1"/>
        <w:rPr>
          <w:rFonts w:ascii="Arial" w:eastAsia="Times New Roman" w:hAnsi="Arial" w:cs="Arial"/>
          <w:b/>
          <w:bCs/>
          <w:caps/>
          <w:sz w:val="30"/>
          <w:szCs w:val="30"/>
        </w:rPr>
      </w:pPr>
      <w:r w:rsidRPr="00892F58">
        <w:rPr>
          <w:rFonts w:ascii="Arial" w:eastAsia="Times New Roman" w:hAnsi="Arial" w:cs="Arial"/>
          <w:b/>
          <w:bCs/>
          <w:caps/>
          <w:sz w:val="30"/>
          <w:szCs w:val="30"/>
          <w:bdr w:val="none" w:sz="0" w:space="0" w:color="auto" w:frame="1"/>
        </w:rPr>
        <w:t>CORPORATE GOVERNANCE</w:t>
      </w:r>
    </w:p>
    <w:tbl>
      <w:tblPr>
        <w:tblW w:w="10350" w:type="dxa"/>
        <w:tblCellMar>
          <w:left w:w="0" w:type="dxa"/>
          <w:right w:w="0" w:type="dxa"/>
        </w:tblCellMar>
        <w:tblLook w:val="04A0" w:firstRow="1" w:lastRow="0" w:firstColumn="1" w:lastColumn="0" w:noHBand="0" w:noVBand="1"/>
      </w:tblPr>
      <w:tblGrid>
        <w:gridCol w:w="10350"/>
      </w:tblGrid>
      <w:tr w:rsidR="00892F58" w:rsidRPr="00892F58" w:rsidTr="00892F58">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rsidR="00892F58" w:rsidRPr="00892F58" w:rsidRDefault="00892F58" w:rsidP="00892F58">
            <w:pPr>
              <w:spacing w:after="30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Our Board of Directors is committed to provide continuing insight into and transparency in our governance process. As part of this commitment, below are descriptions of standing committees of the Board of Directors as well as links to various documents that govern the conduct of our business. Committee charters for the Audit Committee, Compensation Committee, and the Corporate Governance and Nominating Committee are linked in the descriptive paragraphs below.</w:t>
            </w:r>
            <w:bookmarkStart w:id="0" w:name="_GoBack"/>
            <w:bookmarkEnd w:id="0"/>
          </w:p>
          <w:p w:rsidR="00892F58" w:rsidRPr="00892F58" w:rsidRDefault="00892F58" w:rsidP="00892F58">
            <w:pPr>
              <w:spacing w:before="300" w:after="30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The Board of Directors has three standing committees: the Audit Committee, Compensation Committee, and the Corporate Governance and Nominating Committee.</w:t>
            </w:r>
          </w:p>
          <w:p w:rsid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The </w:t>
            </w:r>
            <w:hyperlink r:id="rId4" w:history="1">
              <w:r w:rsidRPr="00892F58">
                <w:rPr>
                  <w:rFonts w:ascii="Arial" w:eastAsia="Times New Roman" w:hAnsi="Arial" w:cs="Arial"/>
                  <w:b/>
                  <w:bCs/>
                  <w:sz w:val="21"/>
                  <w:szCs w:val="21"/>
                  <w:bdr w:val="none" w:sz="0" w:space="0" w:color="auto" w:frame="1"/>
                </w:rPr>
                <w:t>Audit Committee</w:t>
              </w:r>
            </w:hyperlink>
            <w:r w:rsidRPr="00892F58">
              <w:rPr>
                <w:rFonts w:ascii="Arial" w:eastAsia="Times New Roman" w:hAnsi="Arial" w:cs="Arial"/>
                <w:sz w:val="20"/>
                <w:szCs w:val="20"/>
              </w:rPr>
              <w:t> is appointed by the Board from its independent directors to assist the Board in fulfilling their oversight responsibility to the shareholders, potential shareholders, the investment community and others relating to: (1) the integrity of the financial statements of the Company; (2) the compliance by the Company with applicable legal and regulatory requirements related to disclosure; (3) the performance of the Company’s internal audit function and independent auditors; and (4) the independent auditor’s qualifications and independence. The Board has determined that each of the members of the Audit Committee is financially literate and that at least one member is an “audit committee financial expert” as that term is defined in the rules promulgated by the Securities and Exchange Commission pursuant to the Sarbanes-Oxley Act of 2002.</w:t>
            </w:r>
          </w:p>
          <w:p w:rsidR="00892F58" w:rsidRPr="00892F58" w:rsidRDefault="00892F58" w:rsidP="00892F58">
            <w:pPr>
              <w:spacing w:after="0" w:line="360" w:lineRule="atLeast"/>
              <w:textAlignment w:val="baseline"/>
              <w:rPr>
                <w:rFonts w:ascii="Arial" w:eastAsia="Times New Roman" w:hAnsi="Arial" w:cs="Arial"/>
                <w:sz w:val="20"/>
                <w:szCs w:val="20"/>
              </w:rPr>
            </w:pPr>
          </w:p>
          <w:p w:rsid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The </w:t>
            </w:r>
            <w:hyperlink r:id="rId5" w:history="1">
              <w:r w:rsidRPr="00892F58">
                <w:rPr>
                  <w:rFonts w:ascii="Arial" w:eastAsia="Times New Roman" w:hAnsi="Arial" w:cs="Arial"/>
                  <w:b/>
                  <w:bCs/>
                  <w:sz w:val="21"/>
                  <w:szCs w:val="21"/>
                  <w:bdr w:val="none" w:sz="0" w:space="0" w:color="auto" w:frame="1"/>
                </w:rPr>
                <w:t>Compensation Committee</w:t>
              </w:r>
            </w:hyperlink>
            <w:r w:rsidRPr="00892F58">
              <w:rPr>
                <w:rFonts w:ascii="Arial" w:eastAsia="Times New Roman" w:hAnsi="Arial" w:cs="Arial"/>
                <w:sz w:val="20"/>
                <w:szCs w:val="20"/>
              </w:rPr>
              <w:t> is appointed by the Board from its independent directors to discharge the Board’s responsibilities relating to compensation of the Company’s Executive Officers. The Compensation Committee has overall responsibility for reviewing, evaluating and approving the Company’s executive officer compensation agreements (to the extent such agreements are considered necessary or appropriate by the Compensation Committee), plans, policies and programs. The Compensation Committee is also responsible for producing an annual report on executive compensation for inclusion in the Company’s Proxy and for performing such other functions as the Board may assign to the Compensation Committee from time to time.</w:t>
            </w:r>
          </w:p>
          <w:p w:rsidR="00892F58" w:rsidRPr="00892F58" w:rsidRDefault="00892F58" w:rsidP="00892F58">
            <w:pPr>
              <w:spacing w:after="0" w:line="360" w:lineRule="atLeast"/>
              <w:textAlignment w:val="baseline"/>
              <w:rPr>
                <w:rFonts w:ascii="Arial" w:eastAsia="Times New Roman" w:hAnsi="Arial" w:cs="Arial"/>
                <w:sz w:val="20"/>
                <w:szCs w:val="20"/>
              </w:rPr>
            </w:pPr>
          </w:p>
          <w:p w:rsid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The goal of the </w:t>
            </w:r>
            <w:hyperlink r:id="rId6" w:history="1">
              <w:r w:rsidRPr="00892F58">
                <w:rPr>
                  <w:rFonts w:ascii="Arial" w:eastAsia="Times New Roman" w:hAnsi="Arial" w:cs="Arial"/>
                  <w:b/>
                  <w:bCs/>
                  <w:sz w:val="21"/>
                  <w:szCs w:val="21"/>
                  <w:bdr w:val="none" w:sz="0" w:space="0" w:color="auto" w:frame="1"/>
                </w:rPr>
                <w:t>Corporate Governance and Nominating Committee</w:t>
              </w:r>
            </w:hyperlink>
            <w:r w:rsidRPr="00892F58">
              <w:rPr>
                <w:rFonts w:ascii="Arial" w:eastAsia="Times New Roman" w:hAnsi="Arial" w:cs="Arial"/>
                <w:sz w:val="20"/>
                <w:szCs w:val="20"/>
              </w:rPr>
              <w:t> is to take the leadership role in shaping the corporate governance and business standards of the Company’s Board of Directors and the Company. The Corporate Governance and Nominating Committee consists of no fewer than three members, all of whom shall meet the independence requirements of the NYSE, who are appointed by the Board of Directors.</w:t>
            </w:r>
          </w:p>
          <w:p w:rsidR="00892F58" w:rsidRPr="00892F58" w:rsidRDefault="00892F58" w:rsidP="00892F58">
            <w:pPr>
              <w:spacing w:after="0" w:line="360" w:lineRule="atLeast"/>
              <w:textAlignment w:val="baseline"/>
              <w:rPr>
                <w:rFonts w:ascii="Arial" w:eastAsia="Times New Roman" w:hAnsi="Arial" w:cs="Arial"/>
                <w:sz w:val="20"/>
                <w:szCs w:val="20"/>
              </w:rPr>
            </w:pPr>
          </w:p>
          <w:p w:rsid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In March 2016, the Board adopted a </w:t>
            </w:r>
            <w:hyperlink r:id="rId7" w:history="1">
              <w:r w:rsidRPr="00892F58">
                <w:rPr>
                  <w:rFonts w:ascii="Arial" w:eastAsia="Times New Roman" w:hAnsi="Arial" w:cs="Arial"/>
                  <w:b/>
                  <w:bCs/>
                  <w:sz w:val="21"/>
                  <w:szCs w:val="21"/>
                  <w:bdr w:val="none" w:sz="0" w:space="0" w:color="auto" w:frame="1"/>
                </w:rPr>
                <w:t>Lead Director Charter</w:t>
              </w:r>
            </w:hyperlink>
            <w:r w:rsidRPr="00892F58">
              <w:rPr>
                <w:rFonts w:ascii="Arial" w:eastAsia="Times New Roman" w:hAnsi="Arial" w:cs="Arial"/>
                <w:sz w:val="20"/>
                <w:szCs w:val="20"/>
              </w:rPr>
              <w:t>. If the office of the Chairman of the Board and the Chief Executive Officer are held by the same person, the Board will annually elect an independent director to coordinate the activities of the other independent directors and to perform such other duties and responsibilities set forth in the charter and as the independent directors may determine from time to time.</w:t>
            </w:r>
          </w:p>
          <w:p w:rsidR="00892F58" w:rsidRPr="00892F58" w:rsidRDefault="00892F58" w:rsidP="00892F58">
            <w:pPr>
              <w:spacing w:after="0" w:line="360" w:lineRule="atLeast"/>
              <w:textAlignment w:val="baseline"/>
              <w:rPr>
                <w:rFonts w:ascii="Arial" w:eastAsia="Times New Roman" w:hAnsi="Arial" w:cs="Arial"/>
                <w:sz w:val="20"/>
                <w:szCs w:val="20"/>
              </w:rPr>
            </w:pPr>
          </w:p>
          <w:p w:rsid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In addition, in 2003, we established a formal </w:t>
            </w:r>
            <w:hyperlink r:id="rId8" w:history="1">
              <w:r w:rsidRPr="00892F58">
                <w:rPr>
                  <w:rFonts w:ascii="Arial" w:eastAsia="Times New Roman" w:hAnsi="Arial" w:cs="Arial"/>
                  <w:b/>
                  <w:bCs/>
                  <w:sz w:val="21"/>
                  <w:szCs w:val="21"/>
                  <w:bdr w:val="none" w:sz="0" w:space="0" w:color="auto" w:frame="1"/>
                </w:rPr>
                <w:t>Code of Business Conduct and Ethics</w:t>
              </w:r>
            </w:hyperlink>
            <w:r w:rsidRPr="00892F58">
              <w:rPr>
                <w:rFonts w:ascii="Arial" w:eastAsia="Times New Roman" w:hAnsi="Arial" w:cs="Arial"/>
                <w:sz w:val="20"/>
                <w:szCs w:val="20"/>
              </w:rPr>
              <w:t>. The Code applies to all of our employees, directors, officers, agents, and consultants. At that time we also established a </w:t>
            </w:r>
            <w:hyperlink r:id="rId9" w:history="1">
              <w:r w:rsidRPr="00892F58">
                <w:rPr>
                  <w:rFonts w:ascii="Arial" w:eastAsia="Times New Roman" w:hAnsi="Arial" w:cs="Arial"/>
                  <w:b/>
                  <w:bCs/>
                  <w:sz w:val="21"/>
                  <w:szCs w:val="21"/>
                  <w:bdr w:val="none" w:sz="0" w:space="0" w:color="auto" w:frame="1"/>
                </w:rPr>
                <w:t>Code of Ethics for Chief Executive Officer and Senior Financial Officers</w:t>
              </w:r>
            </w:hyperlink>
            <w:r w:rsidRPr="00892F58">
              <w:rPr>
                <w:rFonts w:ascii="Arial" w:eastAsia="Times New Roman" w:hAnsi="Arial" w:cs="Arial"/>
                <w:sz w:val="20"/>
                <w:szCs w:val="20"/>
              </w:rPr>
              <w:t xml:space="preserve"> that is currently applicable to the Chief Executive </w:t>
            </w:r>
            <w:r w:rsidRPr="00892F58">
              <w:rPr>
                <w:rFonts w:ascii="Arial" w:eastAsia="Times New Roman" w:hAnsi="Arial" w:cs="Arial"/>
                <w:sz w:val="20"/>
                <w:szCs w:val="20"/>
              </w:rPr>
              <w:lastRenderedPageBreak/>
              <w:t>Officer, Chief Financial Officer, Principal Accounting Officer or Corporate Controller (or person performing a similar function, if any), and Vice President – Internal Audit. We have also established a compliance program that is intended to ensure that we have in place policies and systems designed to prevent and detect violations of these Codes or any applicable law, policy or regulation.</w:t>
            </w:r>
          </w:p>
          <w:p w:rsidR="00892F58" w:rsidRPr="00892F58" w:rsidRDefault="00892F58" w:rsidP="00892F58">
            <w:pPr>
              <w:spacing w:after="0" w:line="360" w:lineRule="atLeast"/>
              <w:textAlignment w:val="baseline"/>
              <w:rPr>
                <w:rFonts w:ascii="Arial" w:eastAsia="Times New Roman" w:hAnsi="Arial" w:cs="Arial"/>
                <w:sz w:val="20"/>
                <w:szCs w:val="20"/>
              </w:rPr>
            </w:pPr>
          </w:p>
          <w:p w:rsidR="00892F58" w:rsidRPr="00892F58" w:rsidRDefault="00892F58" w:rsidP="00892F58">
            <w:pPr>
              <w:spacing w:after="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Our Board of Directors adopted our initial </w:t>
            </w:r>
            <w:hyperlink r:id="rId10" w:tgtFrame=" _new" w:history="1">
              <w:r w:rsidRPr="00892F58">
                <w:rPr>
                  <w:rFonts w:ascii="Arial" w:eastAsia="Times New Roman" w:hAnsi="Arial" w:cs="Arial"/>
                  <w:b/>
                  <w:bCs/>
                  <w:sz w:val="21"/>
                  <w:szCs w:val="21"/>
                  <w:u w:val="single"/>
                  <w:bdr w:val="none" w:sz="0" w:space="0" w:color="auto" w:frame="1"/>
                </w:rPr>
                <w:t>Corporate Governance Guidelines</w:t>
              </w:r>
            </w:hyperlink>
            <w:r w:rsidRPr="00892F58">
              <w:rPr>
                <w:rFonts w:ascii="Arial" w:eastAsia="Times New Roman" w:hAnsi="Arial" w:cs="Arial"/>
                <w:sz w:val="20"/>
                <w:szCs w:val="20"/>
              </w:rPr>
              <w:t> in 2005 to provide a concise description of the Company's corporate governance obligations, principles and practices.</w:t>
            </w:r>
          </w:p>
          <w:p w:rsidR="00892F58" w:rsidRPr="00892F58" w:rsidRDefault="00892F58" w:rsidP="00892F58">
            <w:pPr>
              <w:spacing w:before="300" w:after="300" w:line="360" w:lineRule="atLeast"/>
              <w:textAlignment w:val="baseline"/>
              <w:rPr>
                <w:rFonts w:ascii="Arial" w:eastAsia="Times New Roman" w:hAnsi="Arial" w:cs="Arial"/>
                <w:sz w:val="20"/>
                <w:szCs w:val="20"/>
              </w:rPr>
            </w:pPr>
            <w:r w:rsidRPr="00892F58">
              <w:rPr>
                <w:rFonts w:ascii="Arial" w:eastAsia="Times New Roman" w:hAnsi="Arial" w:cs="Arial"/>
                <w:sz w:val="20"/>
                <w:szCs w:val="20"/>
              </w:rPr>
              <w:t>In addition to the information to this website, interested parties may make contact the following Company representative:</w:t>
            </w:r>
          </w:p>
          <w:p w:rsidR="00892F58" w:rsidRPr="00892F58" w:rsidRDefault="00892F58" w:rsidP="00892F58">
            <w:pPr>
              <w:spacing w:before="300" w:after="300" w:line="360" w:lineRule="atLeast"/>
              <w:jc w:val="center"/>
              <w:textAlignment w:val="baseline"/>
              <w:rPr>
                <w:rFonts w:ascii="Arial" w:eastAsia="Times New Roman" w:hAnsi="Arial" w:cs="Arial"/>
                <w:sz w:val="20"/>
                <w:szCs w:val="20"/>
              </w:rPr>
            </w:pPr>
            <w:r w:rsidRPr="00892F58">
              <w:rPr>
                <w:rFonts w:ascii="Arial" w:eastAsia="Times New Roman" w:hAnsi="Arial" w:cs="Arial"/>
                <w:sz w:val="20"/>
                <w:szCs w:val="20"/>
              </w:rPr>
              <w:t>Senior Vice President and General Counsel</w:t>
            </w:r>
          </w:p>
          <w:p w:rsidR="00892F58" w:rsidRPr="00892F58" w:rsidRDefault="00892F58" w:rsidP="00892F58">
            <w:pPr>
              <w:spacing w:before="300" w:after="300" w:line="360" w:lineRule="atLeast"/>
              <w:jc w:val="center"/>
              <w:textAlignment w:val="baseline"/>
              <w:rPr>
                <w:rFonts w:ascii="Arial" w:eastAsia="Times New Roman" w:hAnsi="Arial" w:cs="Arial"/>
                <w:sz w:val="20"/>
                <w:szCs w:val="20"/>
              </w:rPr>
            </w:pPr>
            <w:r w:rsidRPr="00892F58">
              <w:rPr>
                <w:rFonts w:ascii="Arial" w:eastAsia="Times New Roman" w:hAnsi="Arial" w:cs="Arial"/>
                <w:sz w:val="20"/>
                <w:szCs w:val="20"/>
              </w:rPr>
              <w:t xml:space="preserve">3505 W Sam Houston Pkwy N, </w:t>
            </w:r>
            <w:proofErr w:type="spellStart"/>
            <w:r w:rsidRPr="00892F58">
              <w:rPr>
                <w:rFonts w:ascii="Arial" w:eastAsia="Times New Roman" w:hAnsi="Arial" w:cs="Arial"/>
                <w:sz w:val="20"/>
                <w:szCs w:val="20"/>
              </w:rPr>
              <w:t>Ste</w:t>
            </w:r>
            <w:proofErr w:type="spellEnd"/>
            <w:r w:rsidRPr="00892F58">
              <w:rPr>
                <w:rFonts w:ascii="Arial" w:eastAsia="Times New Roman" w:hAnsi="Arial" w:cs="Arial"/>
                <w:sz w:val="20"/>
                <w:szCs w:val="20"/>
              </w:rPr>
              <w:t xml:space="preserve"> 400</w:t>
            </w:r>
          </w:p>
          <w:p w:rsidR="00892F58" w:rsidRPr="00892F58" w:rsidRDefault="00892F58" w:rsidP="00892F58">
            <w:pPr>
              <w:spacing w:before="300" w:after="300" w:line="360" w:lineRule="atLeast"/>
              <w:jc w:val="center"/>
              <w:textAlignment w:val="baseline"/>
              <w:rPr>
                <w:rFonts w:ascii="Arial" w:eastAsia="Times New Roman" w:hAnsi="Arial" w:cs="Arial"/>
                <w:sz w:val="20"/>
                <w:szCs w:val="20"/>
              </w:rPr>
            </w:pPr>
            <w:r w:rsidRPr="00892F58">
              <w:rPr>
                <w:rFonts w:ascii="Arial" w:eastAsia="Times New Roman" w:hAnsi="Arial" w:cs="Arial"/>
                <w:sz w:val="20"/>
                <w:szCs w:val="20"/>
              </w:rPr>
              <w:t>Houston, Texas 77043</w:t>
            </w:r>
          </w:p>
          <w:p w:rsidR="00892F58" w:rsidRPr="00892F58" w:rsidRDefault="00892F58" w:rsidP="00892F58">
            <w:pPr>
              <w:spacing w:before="300" w:after="0" w:line="360" w:lineRule="atLeast"/>
              <w:jc w:val="center"/>
              <w:textAlignment w:val="baseline"/>
              <w:rPr>
                <w:rFonts w:ascii="Arial" w:eastAsia="Times New Roman" w:hAnsi="Arial" w:cs="Arial"/>
                <w:sz w:val="20"/>
                <w:szCs w:val="20"/>
              </w:rPr>
            </w:pPr>
            <w:r w:rsidRPr="00892F58">
              <w:rPr>
                <w:rFonts w:ascii="Arial" w:eastAsia="Times New Roman" w:hAnsi="Arial" w:cs="Arial"/>
                <w:sz w:val="20"/>
                <w:szCs w:val="20"/>
              </w:rPr>
              <w:t>(281) 618-0400</w:t>
            </w:r>
          </w:p>
        </w:tc>
      </w:tr>
    </w:tbl>
    <w:p w:rsidR="00495981" w:rsidRPr="00892F58" w:rsidRDefault="00495981">
      <w:pPr>
        <w:rPr>
          <w:rFonts w:ascii="Arial" w:hAnsi="Arial" w:cs="Arial"/>
        </w:rPr>
      </w:pPr>
    </w:p>
    <w:sectPr w:rsidR="00495981" w:rsidRPr="00892F58" w:rsidSect="00892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8"/>
    <w:rsid w:val="00495981"/>
    <w:rsid w:val="0089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EF04"/>
  <w15:chartTrackingRefBased/>
  <w15:docId w15:val="{24BD9F96-44BB-45D1-9627-E392832E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2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F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F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F58"/>
    <w:rPr>
      <w:b/>
      <w:bCs/>
    </w:rPr>
  </w:style>
  <w:style w:type="character" w:customStyle="1" w:styleId="ccbnlnk">
    <w:name w:val="ccbnlnk"/>
    <w:basedOn w:val="DefaultParagraphFont"/>
    <w:rsid w:val="00892F58"/>
  </w:style>
  <w:style w:type="character" w:styleId="Hyperlink">
    <w:name w:val="Hyperlink"/>
    <w:basedOn w:val="DefaultParagraphFont"/>
    <w:uiPriority w:val="99"/>
    <w:semiHidden/>
    <w:unhideWhenUsed/>
    <w:rsid w:val="00892F58"/>
    <w:rPr>
      <w:color w:val="0000FF"/>
      <w:u w:val="single"/>
    </w:rPr>
  </w:style>
  <w:style w:type="character" w:customStyle="1" w:styleId="style7">
    <w:name w:val="style7"/>
    <w:basedOn w:val="DefaultParagraphFont"/>
    <w:rsid w:val="00892F58"/>
  </w:style>
  <w:style w:type="character" w:customStyle="1" w:styleId="style8">
    <w:name w:val="style8"/>
    <w:basedOn w:val="DefaultParagraphFont"/>
    <w:rsid w:val="0089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4669">
      <w:bodyDiv w:val="1"/>
      <w:marLeft w:val="0"/>
      <w:marRight w:val="0"/>
      <w:marTop w:val="0"/>
      <w:marBottom w:val="0"/>
      <w:divBdr>
        <w:top w:val="none" w:sz="0" w:space="0" w:color="auto"/>
        <w:left w:val="none" w:sz="0" w:space="0" w:color="auto"/>
        <w:bottom w:val="none" w:sz="0" w:space="0" w:color="auto"/>
        <w:right w:val="none" w:sz="0" w:space="0" w:color="auto"/>
      </w:divBdr>
      <w:divsChild>
        <w:div w:id="272783592">
          <w:marLeft w:val="0"/>
          <w:marRight w:val="0"/>
          <w:marTop w:val="0"/>
          <w:marBottom w:val="0"/>
          <w:divBdr>
            <w:top w:val="none" w:sz="0" w:space="0" w:color="auto"/>
            <w:left w:val="none" w:sz="0" w:space="0" w:color="auto"/>
            <w:bottom w:val="none" w:sz="0" w:space="0" w:color="auto"/>
            <w:right w:val="none" w:sz="0" w:space="0" w:color="auto"/>
          </w:divBdr>
          <w:divsChild>
            <w:div w:id="1236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x.corporate-ir.net/External.File?item=UGFyZW50SUQ9MjE1NzgzfENoaWxkSUQ9LTF8VHlwZT0z&amp;t=1" TargetMode="External"/><Relationship Id="rId3" Type="http://schemas.openxmlformats.org/officeDocument/2006/relationships/webSettings" Target="webSettings.xml"/><Relationship Id="rId7" Type="http://schemas.openxmlformats.org/officeDocument/2006/relationships/hyperlink" Target="http://phx.corporate-ir.net/External.File?item=UGFyZW50SUQ9MzI3MTA4fENoaWxkSUQ9LTF8VHlwZT0z&amp;t=1&amp;cb=6359315823308912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x.corporate-ir.net/External.File?item=UGFyZW50SUQ9MzE1NzIyfENoaWxkSUQ9LTF8VHlwZT0z&amp;t=1&amp;cb=635847778447822625" TargetMode="External"/><Relationship Id="rId11" Type="http://schemas.openxmlformats.org/officeDocument/2006/relationships/fontTable" Target="fontTable.xml"/><Relationship Id="rId5" Type="http://schemas.openxmlformats.org/officeDocument/2006/relationships/hyperlink" Target="http://phx.corporate-ir.net/External.File?item=UGFyZW50SUQ9MzE1NzIzfENoaWxkSUQ9LTF8VHlwZT0z&amp;t=1&amp;cb=635847779429069250" TargetMode="External"/><Relationship Id="rId10" Type="http://schemas.openxmlformats.org/officeDocument/2006/relationships/hyperlink" Target="http://phx.corporate-ir.net/External.File?item=UGFyZW50SUQ9MzE1NzI0fENoaWxkSUQ9LTF8VHlwZT0z&amp;t=1&amp;cb=636361657942991767" TargetMode="External"/><Relationship Id="rId4" Type="http://schemas.openxmlformats.org/officeDocument/2006/relationships/hyperlink" Target="http://phx.corporate-ir.net/External.File?item=UGFyZW50SUQ9MzE1NzIwfENoaWxkSUQ9LTF8VHlwZT0z&amp;t=1&amp;cb=635847777167535448" TargetMode="External"/><Relationship Id="rId9" Type="http://schemas.openxmlformats.org/officeDocument/2006/relationships/hyperlink" Target="http://phx.corporate-ir.net/External.File?item=UGFyZW50SUQ9MzE1NzIxfENoaWxkSUQ9LTF8VHlwZT0z&amp;t=1&amp;cb=63584777764310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Helix Energy Solutions Group</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1</cp:revision>
  <dcterms:created xsi:type="dcterms:W3CDTF">2019-05-13T16:11:00Z</dcterms:created>
  <dcterms:modified xsi:type="dcterms:W3CDTF">2019-05-13T16:12:00Z</dcterms:modified>
</cp:coreProperties>
</file>